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center"/>
        <w:textAlignment w:val="baseline"/>
        <w:rPr>
          <w:rFonts w:hint="eastAsia" w:ascii="黑体" w:hAnsi="黑体" w:eastAsia="黑体" w:cs="黑体"/>
          <w:b w:val="0"/>
          <w:bCs w:val="0"/>
          <w:spacing w:val="0"/>
          <w:w w:val="100"/>
          <w:position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firstLine="640" w:firstLineChars="200"/>
        <w:jc w:val="center"/>
        <w:textAlignment w:val="baseline"/>
        <w:rPr>
          <w:rFonts w:ascii="Arial"/>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center"/>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是否同意公开：</w:t>
      </w:r>
      <w:r>
        <w:rPr>
          <w:rFonts w:hint="eastAsia" w:ascii="仿宋_GB2312" w:hAnsi="仿宋_GB2312" w:eastAsia="仿宋_GB2312" w:cs="仿宋_GB2312"/>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办理结果：</w:t>
      </w:r>
      <w:r>
        <w:rPr>
          <w:rFonts w:hint="eastAsia" w:ascii="仿宋_GB2312" w:hAnsi="仿宋_GB2312" w:eastAsia="仿宋_GB2312" w:cs="仿宋_GB2312"/>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beforeAutospacing="0" w:afterAutospacing="0" w:line="55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lang w:val="en-US" w:eastAsia="zh-CN"/>
        </w:rPr>
        <w:t>邢农提案字〔2025〕33号</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both"/>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r>
        <w:rPr>
          <w:rFonts w:hint="eastAsia" w:ascii="方正小标宋_GBK" w:hAnsi="方正小标宋_GBK" w:eastAsia="方正小标宋_GBK" w:cs="方正小标宋_GBK"/>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五</w:t>
      </w:r>
      <w:r>
        <w:rPr>
          <w:rFonts w:hint="eastAsia" w:ascii="方正小标宋简体" w:hAnsi="方正小标宋简体" w:eastAsia="方正小标宋简体" w:cs="方正小标宋简体"/>
          <w:b w:val="0"/>
          <w:bCs w:val="0"/>
          <w:spacing w:val="0"/>
          <w:w w:val="100"/>
          <w:position w:val="0"/>
          <w:sz w:val="44"/>
          <w:szCs w:val="44"/>
        </w:rPr>
        <w:t>次会</w:t>
      </w:r>
      <w:r>
        <w:rPr>
          <w:rFonts w:hint="eastAsia" w:ascii="方正小标宋_GBK" w:hAnsi="方正小标宋_GBK" w:eastAsia="方正小标宋_GBK" w:cs="方正小标宋_GBK"/>
          <w:b w:val="0"/>
          <w:bCs w:val="0"/>
          <w:spacing w:val="0"/>
          <w:w w:val="100"/>
          <w:position w:val="0"/>
          <w:sz w:val="44"/>
          <w:szCs w:val="44"/>
        </w:rPr>
        <w:t>议第</w:t>
      </w:r>
      <w:r>
        <w:rPr>
          <w:rFonts w:hint="eastAsia" w:ascii="方正小标宋_GBK" w:hAnsi="方正小标宋_GBK" w:eastAsia="方正小标宋_GBK" w:cs="方正小标宋_GBK"/>
          <w:b w:val="0"/>
          <w:bCs w:val="0"/>
          <w:spacing w:val="0"/>
          <w:w w:val="100"/>
          <w:position w:val="0"/>
          <w:sz w:val="44"/>
          <w:szCs w:val="44"/>
          <w:lang w:val="en-US" w:eastAsia="zh-CN"/>
        </w:rPr>
        <w:t>600</w:t>
      </w:r>
      <w:r>
        <w:rPr>
          <w:rFonts w:hint="eastAsia" w:ascii="方正小标宋_GBK" w:hAnsi="方正小标宋_GBK" w:eastAsia="方正小标宋_GBK" w:cs="方正小标宋_GBK"/>
          <w:b w:val="0"/>
          <w:bCs w:val="0"/>
          <w:spacing w:val="0"/>
          <w:w w:val="100"/>
          <w:position w:val="0"/>
          <w:sz w:val="44"/>
          <w:szCs w:val="44"/>
        </w:rPr>
        <w:t>号提案的答复</w:t>
      </w: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50" w:lineRule="exact"/>
        <w:ind w:left="0" w:leftChars="0" w:right="0"/>
        <w:jc w:val="both"/>
        <w:textAlignment w:val="baseline"/>
        <w:rPr>
          <w:rFonts w:ascii="仿宋" w:hAnsi="仿宋" w:eastAsia="仿宋" w:cs="仿宋"/>
          <w:spacing w:val="0"/>
          <w:w w:val="100"/>
          <w:position w:val="0"/>
          <w:sz w:val="31"/>
          <w:szCs w:val="31"/>
        </w:rPr>
      </w:pP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50" w:lineRule="exact"/>
        <w:ind w:left="0" w:leftChars="0"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lang w:eastAsia="zh-CN"/>
        </w:rPr>
        <w:t>王军磊委员</w:t>
      </w:r>
      <w:r>
        <w:rPr>
          <w:rFonts w:hint="eastAsia" w:ascii="仿宋_GB2312" w:hAnsi="仿宋_GB2312" w:eastAsia="仿宋_GB2312" w:cs="仿宋_GB2312"/>
          <w:spacing w:val="0"/>
          <w:w w:val="100"/>
          <w:position w:val="0"/>
          <w:sz w:val="32"/>
          <w:szCs w:val="32"/>
        </w:rPr>
        <w:t>:</w:t>
      </w: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50" w:lineRule="exact"/>
        <w:ind w:left="0" w:leftChars="0" w:right="0" w:firstLine="640" w:firstLineChars="200"/>
        <w:jc w:val="left"/>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0"/>
          <w:w w:val="100"/>
          <w:position w:val="0"/>
          <w:sz w:val="32"/>
          <w:szCs w:val="32"/>
          <w:lang w:eastAsia="zh-CN"/>
        </w:rPr>
        <w:t>您</w:t>
      </w:r>
      <w:r>
        <w:rPr>
          <w:rFonts w:hint="eastAsia" w:ascii="仿宋_GB2312" w:hAnsi="仿宋_GB2312" w:eastAsia="仿宋_GB2312" w:cs="仿宋_GB2312"/>
          <w:spacing w:val="0"/>
          <w:w w:val="100"/>
          <w:position w:val="0"/>
          <w:sz w:val="32"/>
          <w:szCs w:val="32"/>
        </w:rPr>
        <w:t>提出的</w:t>
      </w:r>
      <w:r>
        <w:rPr>
          <w:rFonts w:hint="eastAsia" w:ascii="仿宋_GB2312" w:hAnsi="仿宋_GB2312" w:eastAsia="仿宋_GB2312" w:cs="仿宋_GB2312"/>
          <w:spacing w:val="0"/>
          <w:w w:val="100"/>
          <w:position w:val="0"/>
          <w:sz w:val="32"/>
          <w:szCs w:val="32"/>
          <w:lang w:val="en-US" w:eastAsia="zh-CN"/>
        </w:rPr>
        <w:t>“关于大力发展乡村‘微工厂’，助力乡村产业振兴的建议”的提案</w:t>
      </w:r>
      <w:r>
        <w:rPr>
          <w:rFonts w:hint="eastAsia" w:ascii="仿宋_GB2312" w:hAnsi="仿宋_GB2312" w:eastAsia="仿宋_GB2312" w:cs="仿宋_GB2312"/>
          <w:spacing w:val="0"/>
          <w:w w:val="100"/>
          <w:position w:val="0"/>
          <w:sz w:val="32"/>
          <w:szCs w:val="32"/>
        </w:rPr>
        <w:t>收悉</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z w:val="32"/>
          <w:szCs w:val="32"/>
          <w:lang w:eastAsia="zh-CN"/>
        </w:rPr>
        <w:t>我局高度重视，认真研究，积极抓好落实。现结合工作实际答复如下：</w:t>
      </w:r>
    </w:p>
    <w:p>
      <w:pPr>
        <w:pStyle w:val="2"/>
        <w:keepNext w:val="0"/>
        <w:keepLines w:val="0"/>
        <w:pageBreakBefore w:val="0"/>
        <w:kinsoku/>
        <w:wordWrap/>
        <w:overflowPunct/>
        <w:topLinePunct w:val="0"/>
        <w:autoSpaceDE/>
        <w:autoSpaceDN/>
        <w:bidi w:val="0"/>
        <w:adjustRightInd/>
        <w:spacing w:line="550" w:lineRule="exact"/>
        <w:ind w:left="0" w:leftChars="0" w:right="0" w:firstLine="640" w:firstLineChars="200"/>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一、推动我市产业集群高质量发展</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50" w:lineRule="exact"/>
        <w:ind w:left="0" w:leftChars="0" w:right="0" w:firstLine="643" w:firstLineChars="200"/>
        <w:jc w:val="left"/>
        <w:textAlignment w:val="auto"/>
        <w:rPr>
          <w:rFonts w:hint="eastAsia" w:ascii="仿宋_GB2312" w:hAnsi="仿宋_GB2312" w:eastAsia="仿宋_GB2312" w:cs="仿宋_GB2312"/>
          <w:i w:val="0"/>
          <w:caps w:val="0"/>
          <w:color w:val="000000"/>
          <w:spacing w:val="0"/>
          <w:sz w:val="32"/>
          <w:szCs w:val="32"/>
          <w:shd w:val="clear" w:color="auto" w:fill="FFFFFF"/>
        </w:rPr>
        <w:sectPr>
          <w:pgSz w:w="11906" w:h="16838"/>
          <w:pgMar w:top="2098" w:right="1531" w:bottom="1984" w:left="1531" w:header="851" w:footer="1701" w:gutter="0"/>
          <w:pgNumType w:fmt="numberInDash" w:start="2"/>
          <w:cols w:space="425" w:num="1"/>
          <w:docGrid w:type="lines" w:linePitch="312" w:charSpace="0"/>
        </w:sectPr>
      </w:pPr>
      <w:r>
        <w:rPr>
          <w:rFonts w:hint="eastAsia" w:ascii="仿宋_GB2312" w:hAnsi="仿宋_GB2312" w:eastAsia="仿宋_GB2312" w:cs="仿宋_GB2312"/>
          <w:b/>
          <w:bCs/>
          <w:i w:val="0"/>
          <w:caps w:val="0"/>
          <w:color w:val="000000"/>
          <w:spacing w:val="0"/>
          <w:sz w:val="32"/>
          <w:szCs w:val="32"/>
          <w:shd w:val="clear" w:color="auto" w:fill="FFFFFF"/>
          <w:lang w:val="en-US" w:eastAsia="zh-CN"/>
        </w:rPr>
        <w:t>一是</w:t>
      </w:r>
      <w:r>
        <w:rPr>
          <w:rFonts w:hint="eastAsia" w:ascii="仿宋_GB2312" w:hAnsi="仿宋_GB2312" w:eastAsia="仿宋_GB2312" w:cs="仿宋_GB2312"/>
          <w:i w:val="0"/>
          <w:caps w:val="0"/>
          <w:color w:val="000000"/>
          <w:spacing w:val="0"/>
          <w:sz w:val="32"/>
          <w:szCs w:val="32"/>
          <w:shd w:val="clear" w:color="auto" w:fill="FFFFFF"/>
          <w:lang w:val="en-US" w:eastAsia="zh-CN"/>
        </w:rPr>
        <w:t>印发了</w:t>
      </w:r>
      <w:r>
        <w:rPr>
          <w:rFonts w:hint="eastAsia" w:ascii="仿宋_GB2312" w:hAnsi="仿宋_GB2312" w:eastAsia="仿宋_GB2312" w:cs="仿宋_GB2312"/>
          <w:i w:val="0"/>
          <w:caps w:val="0"/>
          <w:color w:val="000000"/>
          <w:spacing w:val="0"/>
          <w:sz w:val="32"/>
          <w:szCs w:val="32"/>
          <w:shd w:val="clear" w:color="auto" w:fill="FFFFFF"/>
        </w:rPr>
        <w:t>《邢台市特色产业集群高质量发展2025年工作要点》</w:t>
      </w:r>
      <w:r>
        <w:rPr>
          <w:rFonts w:hint="eastAsia" w:ascii="仿宋_GB2312" w:hAnsi="仿宋_GB2312" w:eastAsia="仿宋_GB2312" w:cs="仿宋_GB2312"/>
          <w:i w:val="0"/>
          <w:caps w:val="0"/>
          <w:color w:val="000000"/>
          <w:spacing w:val="0"/>
          <w:sz w:val="32"/>
          <w:szCs w:val="32"/>
          <w:shd w:val="clear" w:color="auto" w:fill="FFFFFF"/>
          <w:lang w:eastAsia="zh-CN"/>
        </w:rPr>
        <w:t>，</w:t>
      </w:r>
      <w:r>
        <w:rPr>
          <w:rFonts w:hint="eastAsia" w:ascii="仿宋_GB2312" w:hAnsi="仿宋_GB2312" w:eastAsia="仿宋_GB2312" w:cs="仿宋_GB2312"/>
          <w:i w:val="0"/>
          <w:caps w:val="0"/>
          <w:color w:val="000000" w:themeColor="text1"/>
          <w:spacing w:val="18"/>
          <w:kern w:val="0"/>
          <w:sz w:val="30"/>
          <w:szCs w:val="30"/>
          <w:shd w:val="clear" w:fill="FFFFFF"/>
          <w:lang w:val="en-US" w:eastAsia="zh-CN" w:bidi="ar"/>
          <w14:textFill>
            <w14:solidFill>
              <w14:schemeClr w14:val="tx1"/>
            </w14:solidFill>
          </w14:textFill>
        </w:rPr>
        <w:t>明确提出15个方面的具体举措，</w:t>
      </w:r>
      <w:r>
        <w:rPr>
          <w:rFonts w:hint="eastAsia" w:ascii="仿宋_GB2312" w:hAnsi="仿宋_GB2312" w:eastAsia="仿宋_GB2312" w:cs="仿宋_GB2312"/>
          <w:i w:val="0"/>
          <w:caps w:val="0"/>
          <w:color w:val="000000"/>
          <w:spacing w:val="0"/>
          <w:sz w:val="32"/>
          <w:szCs w:val="32"/>
          <w:shd w:val="clear" w:color="auto" w:fill="FFFFFF"/>
        </w:rPr>
        <w:t>即：一方案（一群一方案），两抓（抓质量提升、抓科技创新），两快（加快共享模式、加快数字化智能化赋能），两强（强龙头企业、强链条协作协同），七赋能（金融、职教、园中园、招商引资、协会商会、企业家队伍、产品名片），一保障（持续优化服务体系），着力</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50" w:lineRule="exact"/>
        <w:ind w:leftChars="0" w:right="0"/>
        <w:jc w:val="left"/>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rPr>
        <w:t>破解集群发展的困难与瓶颈。</w:t>
      </w:r>
      <w:r>
        <w:rPr>
          <w:rFonts w:hint="eastAsia" w:ascii="仿宋_GB2312" w:hAnsi="仿宋_GB2312" w:eastAsia="仿宋_GB2312" w:cs="仿宋_GB2312"/>
          <w:b/>
          <w:bCs/>
          <w:i w:val="0"/>
          <w:caps w:val="0"/>
          <w:color w:val="000000"/>
          <w:spacing w:val="0"/>
          <w:sz w:val="32"/>
          <w:szCs w:val="32"/>
          <w:shd w:val="clear" w:color="auto" w:fill="FFFFFF"/>
          <w:lang w:eastAsia="zh-CN"/>
        </w:rPr>
        <w:t>二是</w:t>
      </w:r>
      <w:r>
        <w:rPr>
          <w:rFonts w:hint="eastAsia" w:ascii="仿宋_GB2312" w:hAnsi="仿宋_GB2312" w:eastAsia="仿宋_GB2312" w:cs="仿宋_GB2312"/>
          <w:spacing w:val="0"/>
          <w:w w:val="100"/>
          <w:kern w:val="2"/>
          <w:position w:val="0"/>
          <w:sz w:val="32"/>
          <w:szCs w:val="32"/>
          <w:highlight w:val="none"/>
          <w:lang w:val="en-US" w:eastAsia="zh-CN" w:bidi="ar-SA"/>
        </w:rPr>
        <w:t>梯度培育中小企业特色产业集群。</w:t>
      </w:r>
      <w:r>
        <w:rPr>
          <w:rFonts w:hint="eastAsia" w:ascii="仿宋_GB2312" w:hAnsi="仿宋_GB2312" w:eastAsia="仿宋_GB2312" w:cs="仿宋_GB2312"/>
          <w:i w:val="0"/>
          <w:caps w:val="0"/>
          <w:color w:val="000000"/>
          <w:spacing w:val="0"/>
          <w:sz w:val="32"/>
          <w:szCs w:val="32"/>
          <w:shd w:val="clear" w:color="auto" w:fill="FFFFFF"/>
          <w:lang w:eastAsia="zh-CN"/>
        </w:rPr>
        <w:t>市工信局</w:t>
      </w:r>
      <w:r>
        <w:rPr>
          <w:rFonts w:hint="eastAsia" w:ascii="仿宋_GB2312" w:hAnsi="仿宋_GB2312" w:eastAsia="仿宋_GB2312" w:cs="仿宋_GB2312"/>
          <w:i w:val="0"/>
          <w:caps w:val="0"/>
          <w:color w:val="000000"/>
          <w:spacing w:val="0"/>
          <w:sz w:val="32"/>
          <w:szCs w:val="32"/>
          <w:shd w:val="clear" w:color="auto" w:fill="FFFFFF"/>
        </w:rPr>
        <w:t>着力构建县级、省级、国家级三级梯度培育体系，已累计培育国家级中小企业特色产业集群4个（清河羊绒及制品、平乡童车、临西轴承零部件、宁晋电线电缆）、省级中小企业特色产业集群9个（含国家级）。目前正在组织隆尧方便功能食品、任泽智能设备及零部件、广宗自行车3个集群申报省中小企业特色产业集群，组织沙河玻璃申报国家中小企业特色产业集群。</w:t>
      </w:r>
      <w:r>
        <w:rPr>
          <w:rFonts w:hint="eastAsia" w:ascii="仿宋_GB2312" w:hAnsi="仿宋_GB2312" w:eastAsia="仿宋_GB2312" w:cs="仿宋_GB2312"/>
          <w:b/>
          <w:bCs/>
          <w:spacing w:val="0"/>
          <w:w w:val="100"/>
          <w:kern w:val="2"/>
          <w:position w:val="0"/>
          <w:sz w:val="32"/>
          <w:szCs w:val="32"/>
          <w:highlight w:val="none"/>
          <w:lang w:val="en-US" w:eastAsia="zh-CN" w:bidi="ar-SA"/>
        </w:rPr>
        <w:t>三是</w:t>
      </w:r>
      <w:r>
        <w:rPr>
          <w:rFonts w:hint="eastAsia" w:ascii="仿宋_GB2312" w:hAnsi="仿宋_GB2312" w:eastAsia="仿宋_GB2312" w:cs="仿宋_GB2312"/>
          <w:spacing w:val="0"/>
          <w:w w:val="100"/>
          <w:kern w:val="2"/>
          <w:position w:val="0"/>
          <w:sz w:val="32"/>
          <w:szCs w:val="32"/>
          <w:highlight w:val="none"/>
          <w:lang w:val="en-US" w:eastAsia="zh-CN" w:bidi="ar-SA"/>
        </w:rPr>
        <w:t>提升金融赋能水平。</w:t>
      </w:r>
      <w:r>
        <w:rPr>
          <w:rFonts w:hint="eastAsia" w:ascii="仿宋_GB2312" w:hAnsi="仿宋_GB2312" w:eastAsia="仿宋_GB2312" w:cs="仿宋_GB2312"/>
          <w:i w:val="0"/>
          <w:caps w:val="0"/>
          <w:color w:val="000000"/>
          <w:spacing w:val="0"/>
          <w:sz w:val="32"/>
          <w:szCs w:val="32"/>
          <w:shd w:val="clear" w:color="auto" w:fill="FFFFFF"/>
          <w:lang w:eastAsia="zh-CN"/>
        </w:rPr>
        <w:t>根据</w:t>
      </w:r>
      <w:r>
        <w:rPr>
          <w:rFonts w:hint="eastAsia" w:ascii="仿宋_GB2312" w:hAnsi="仿宋_GB2312" w:eastAsia="仿宋_GB2312" w:cs="仿宋_GB2312"/>
          <w:i w:val="0"/>
          <w:caps w:val="0"/>
          <w:color w:val="000000"/>
          <w:spacing w:val="0"/>
          <w:sz w:val="32"/>
          <w:szCs w:val="32"/>
          <w:shd w:val="clear" w:color="auto" w:fill="FFFFFF"/>
        </w:rPr>
        <w:t>省委金融办印发</w:t>
      </w:r>
      <w:r>
        <w:rPr>
          <w:rFonts w:hint="eastAsia" w:ascii="仿宋_GB2312" w:hAnsi="仿宋_GB2312" w:eastAsia="仿宋_GB2312" w:cs="仿宋_GB2312"/>
          <w:i w:val="0"/>
          <w:caps w:val="0"/>
          <w:color w:val="000000"/>
          <w:spacing w:val="0"/>
          <w:sz w:val="32"/>
          <w:szCs w:val="32"/>
          <w:shd w:val="clear" w:color="auto" w:fill="FFFFFF"/>
          <w:lang w:eastAsia="zh-CN"/>
        </w:rPr>
        <w:t>的</w:t>
      </w:r>
      <w:r>
        <w:rPr>
          <w:rFonts w:hint="eastAsia" w:ascii="仿宋_GB2312" w:hAnsi="仿宋_GB2312" w:eastAsia="仿宋_GB2312" w:cs="仿宋_GB2312"/>
          <w:i w:val="0"/>
          <w:caps w:val="0"/>
          <w:color w:val="000000"/>
          <w:spacing w:val="0"/>
          <w:sz w:val="32"/>
          <w:szCs w:val="32"/>
          <w:shd w:val="clear" w:color="auto" w:fill="FFFFFF"/>
        </w:rPr>
        <w:t>《金融支持重点特色产业集群第一批试点名单》，全省共有26个特色产业集群入选，我市占有7个。中国银行、河北银行等金融机构面向我市产业集群纷纷推出专属产业集群贷等金融产品，满足集群企业需求。截至</w:t>
      </w:r>
      <w:r>
        <w:rPr>
          <w:rFonts w:hint="eastAsia" w:ascii="仿宋_GB2312" w:hAnsi="仿宋_GB2312" w:eastAsia="仿宋_GB2312" w:cs="仿宋_GB2312"/>
          <w:i w:val="0"/>
          <w:caps w:val="0"/>
          <w:color w:val="000000"/>
          <w:spacing w:val="0"/>
          <w:sz w:val="32"/>
          <w:szCs w:val="32"/>
          <w:shd w:val="clear" w:color="auto" w:fill="FFFFFF"/>
          <w:lang w:val="en-US" w:eastAsia="zh-CN"/>
        </w:rPr>
        <w:t>2025年</w:t>
      </w:r>
      <w:r>
        <w:rPr>
          <w:rFonts w:hint="eastAsia" w:ascii="仿宋_GB2312" w:hAnsi="仿宋_GB2312" w:eastAsia="仿宋_GB2312" w:cs="仿宋_GB2312"/>
          <w:i w:val="0"/>
          <w:caps w:val="0"/>
          <w:color w:val="000000"/>
          <w:spacing w:val="0"/>
          <w:sz w:val="32"/>
          <w:szCs w:val="32"/>
          <w:shd w:val="clear" w:color="auto" w:fill="FFFFFF"/>
        </w:rPr>
        <w:t>3月中旬，全市县域特色产业集群贷款余额已超760亿元。截至</w:t>
      </w:r>
      <w:r>
        <w:rPr>
          <w:rFonts w:hint="eastAsia" w:ascii="仿宋_GB2312" w:hAnsi="仿宋_GB2312" w:eastAsia="仿宋_GB2312" w:cs="仿宋_GB2312"/>
          <w:i w:val="0"/>
          <w:caps w:val="0"/>
          <w:color w:val="000000"/>
          <w:spacing w:val="0"/>
          <w:sz w:val="32"/>
          <w:szCs w:val="32"/>
          <w:shd w:val="clear" w:color="auto" w:fill="FFFFFF"/>
          <w:lang w:val="en-US" w:eastAsia="zh-CN"/>
        </w:rPr>
        <w:t>2025年</w:t>
      </w:r>
      <w:r>
        <w:rPr>
          <w:rFonts w:hint="eastAsia" w:ascii="仿宋_GB2312" w:hAnsi="仿宋_GB2312" w:eastAsia="仿宋_GB2312" w:cs="仿宋_GB2312"/>
          <w:i w:val="0"/>
          <w:caps w:val="0"/>
          <w:color w:val="000000"/>
          <w:spacing w:val="0"/>
          <w:sz w:val="32"/>
          <w:szCs w:val="32"/>
          <w:shd w:val="clear" w:color="auto" w:fill="FFFFFF"/>
        </w:rPr>
        <w:t>3月</w:t>
      </w:r>
      <w:r>
        <w:rPr>
          <w:rFonts w:hint="eastAsia" w:ascii="仿宋_GB2312" w:hAnsi="仿宋_GB2312" w:eastAsia="仿宋_GB2312" w:cs="仿宋_GB2312"/>
          <w:i w:val="0"/>
          <w:caps w:val="0"/>
          <w:color w:val="000000"/>
          <w:spacing w:val="0"/>
          <w:sz w:val="32"/>
          <w:szCs w:val="32"/>
          <w:shd w:val="clear" w:color="auto" w:fill="FFFFFF"/>
          <w:lang w:eastAsia="zh-CN"/>
        </w:rPr>
        <w:t>底</w:t>
      </w:r>
      <w:r>
        <w:rPr>
          <w:rFonts w:hint="eastAsia" w:ascii="仿宋_GB2312" w:hAnsi="仿宋_GB2312" w:eastAsia="仿宋_GB2312" w:cs="仿宋_GB2312"/>
          <w:i w:val="0"/>
          <w:caps w:val="0"/>
          <w:color w:val="000000"/>
          <w:spacing w:val="0"/>
          <w:sz w:val="32"/>
          <w:szCs w:val="32"/>
          <w:shd w:val="clear" w:color="auto" w:fill="FFFFFF"/>
        </w:rPr>
        <w:t>引导全市金融机构开展各类银企对接活动11次，对接市场主体一千余家，为企业提供信贷支持达22.64亿元。</w:t>
      </w:r>
    </w:p>
    <w:p>
      <w:pPr>
        <w:pStyle w:val="10"/>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0" w:afterAutospacing="0" w:line="550" w:lineRule="exact"/>
        <w:ind w:leftChars="0" w:right="0" w:rightChars="0" w:firstLine="640" w:firstLineChars="200"/>
        <w:jc w:val="left"/>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二、推进食品加工产业隆起带建设</w:t>
      </w:r>
    </w:p>
    <w:p>
      <w:pPr>
        <w:pStyle w:val="2"/>
        <w:keepNext w:val="0"/>
        <w:keepLines w:val="0"/>
        <w:pageBreakBefore w:val="0"/>
        <w:widowControl w:val="0"/>
        <w:numPr>
          <w:ilvl w:val="0"/>
          <w:numId w:val="0"/>
        </w:numPr>
        <w:kinsoku/>
        <w:wordWrap/>
        <w:overflowPunct/>
        <w:topLinePunct w:val="0"/>
        <w:autoSpaceDE/>
        <w:autoSpaceDN/>
        <w:bidi w:val="0"/>
        <w:adjustRightInd/>
        <w:spacing w:beforeAutospacing="0" w:afterAutospacing="0" w:line="550" w:lineRule="exact"/>
        <w:ind w:left="0" w:leftChars="0" w:right="0" w:rightChars="0" w:firstLine="691"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pacing w:val="12"/>
          <w:kern w:val="2"/>
          <w:sz w:val="32"/>
          <w:szCs w:val="32"/>
          <w:highlight w:val="none"/>
          <w:lang w:val="en-US" w:eastAsia="zh-CN" w:bidi="ar-SA"/>
        </w:rPr>
        <w:t>一是</w:t>
      </w:r>
      <w:r>
        <w:rPr>
          <w:rFonts w:hint="eastAsia" w:ascii="仿宋_GB2312" w:hAnsi="仿宋_GB2312" w:eastAsia="仿宋_GB2312" w:cs="仿宋_GB2312"/>
          <w:spacing w:val="12"/>
          <w:kern w:val="2"/>
          <w:sz w:val="32"/>
          <w:szCs w:val="32"/>
          <w:highlight w:val="none"/>
          <w:lang w:val="en-US" w:eastAsia="zh-CN" w:bidi="ar-SA"/>
        </w:rPr>
        <w:t>制定了隆起带规划建设方案。市农业农村局聘请中国农业科学院农产品加工研究所和邢台市建筑设计研究院，结合国土空间规划，编制了邢台市食品加工产业隆起带规划建设方案，科学精准谋划隆起带发展路径和目标。明确将按照“一年打基础、三年出形象、五年成规模”的时间节点要求，打造主导产业优势明显、区域特色突出、示范带动效应显著的“全省一流、全国领先”的千亿级食品加工产业聚集区。</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园区建设水平有序提升。</w:t>
      </w:r>
      <w:r>
        <w:rPr>
          <w:rFonts w:hint="eastAsia" w:ascii="仿宋_GB2312" w:hAnsi="仿宋_GB2312" w:eastAsia="仿宋_GB2312" w:cs="仿宋_GB2312"/>
          <w:spacing w:val="12"/>
          <w:kern w:val="2"/>
          <w:sz w:val="32"/>
          <w:szCs w:val="32"/>
          <w:highlight w:val="none"/>
          <w:lang w:val="en-US" w:eastAsia="zh-CN" w:bidi="ar-SA"/>
        </w:rPr>
        <w:t>对标园区建设“十一通一平”要求，推动一批园区标准厂房、道路建设、污水处理、电气供应等基础设施建设，园区建设水平和承载力均有较大提升。截至2024年11月底，隆尧县总投资4.89亿元，占地223</w:t>
      </w:r>
      <w:r>
        <w:rPr>
          <w:rFonts w:hint="eastAsia" w:ascii="仿宋_GB2312" w:hAnsi="仿宋_GB2312" w:eastAsia="仿宋_GB2312" w:cs="仿宋_GB2312"/>
          <w:sz w:val="32"/>
          <w:szCs w:val="32"/>
          <w:lang w:val="en-US" w:eastAsia="zh-CN"/>
        </w:rPr>
        <w:t>亩，总建筑面积24万平方米的东方食品城双创园项目已全面投入使用，目前已与</w:t>
      </w:r>
      <w:r>
        <w:rPr>
          <w:rFonts w:hint="default" w:ascii="仿宋_GB2312" w:hAnsi="仿宋_GB2312" w:eastAsia="仿宋_GB2312" w:cs="仿宋_GB2312"/>
          <w:sz w:val="32"/>
          <w:szCs w:val="32"/>
          <w:lang w:val="en" w:eastAsia="zh-CN"/>
        </w:rPr>
        <w:t>15</w:t>
      </w:r>
      <w:r>
        <w:rPr>
          <w:rFonts w:hint="eastAsia" w:ascii="仿宋_GB2312" w:hAnsi="仿宋_GB2312" w:eastAsia="仿宋_GB2312" w:cs="仿宋_GB2312"/>
          <w:sz w:val="32"/>
          <w:szCs w:val="32"/>
          <w:lang w:val="en-US" w:eastAsia="zh-CN"/>
        </w:rPr>
        <w:t>家企业达成入驻协议，其中</w:t>
      </w:r>
      <w:r>
        <w:rPr>
          <w:rFonts w:hint="default" w:ascii="仿宋_GB2312" w:hAnsi="仿宋_GB2312" w:eastAsia="仿宋_GB2312" w:cs="仿宋_GB2312"/>
          <w:sz w:val="32"/>
          <w:szCs w:val="32"/>
          <w:lang w:val="en" w:eastAsia="zh-CN"/>
        </w:rPr>
        <w:t>4</w:t>
      </w:r>
      <w:r>
        <w:rPr>
          <w:rFonts w:hint="eastAsia" w:ascii="仿宋_GB2312" w:hAnsi="仿宋_GB2312" w:eastAsia="仿宋_GB2312" w:cs="仿宋_GB2312"/>
          <w:sz w:val="32"/>
          <w:szCs w:val="32"/>
          <w:lang w:val="en-US" w:eastAsia="zh-CN"/>
        </w:rPr>
        <w:t>家企业正装配生产线，1家企业已经投产。南和区总投资5亿元，总建筑面积14.78万平方米的产业园区全部投入使用，已实现近70家中小企业入驻。宁晋县总投资7.5亿元，规划总建筑面积25万平方米的休闲食品产业园一期主体完工，预计今年6月份可达到企业拎包入驻标准。</w:t>
      </w:r>
      <w:r>
        <w:rPr>
          <w:rFonts w:hint="eastAsia" w:ascii="仿宋_GB2312" w:hAnsi="仿宋_GB2312" w:eastAsia="仿宋_GB2312" w:cs="仿宋_GB2312"/>
          <w:b/>
          <w:bCs/>
          <w:spacing w:val="0"/>
          <w:w w:val="100"/>
          <w:position w:val="0"/>
          <w:sz w:val="32"/>
          <w:szCs w:val="32"/>
          <w:highlight w:val="none"/>
          <w:lang w:eastAsia="zh-CN"/>
        </w:rPr>
        <w:t>三是</w:t>
      </w:r>
      <w:r>
        <w:rPr>
          <w:rFonts w:hint="eastAsia" w:ascii="仿宋_GB2312" w:hAnsi="仿宋_GB2312" w:eastAsia="仿宋_GB2312" w:cs="仿宋_GB2312"/>
          <w:spacing w:val="0"/>
          <w:w w:val="100"/>
          <w:position w:val="0"/>
          <w:sz w:val="32"/>
          <w:szCs w:val="32"/>
          <w:highlight w:val="none"/>
          <w:lang w:eastAsia="zh-CN"/>
        </w:rPr>
        <w:t>完善基础设施，降低企业运营成本。</w:t>
      </w:r>
      <w:r>
        <w:rPr>
          <w:rFonts w:hint="eastAsia" w:ascii="仿宋_GB2312" w:hAnsi="仿宋_GB2312" w:eastAsia="仿宋_GB2312" w:cs="仿宋_GB2312"/>
          <w:sz w:val="32"/>
          <w:szCs w:val="32"/>
          <w:lang w:val="en-US" w:eastAsia="zh-CN"/>
        </w:rPr>
        <w:t>按照“园区承载、项目聚集”的思路，着力提升宁晋、隆尧、南和五大园区能级和承载力，积极推进实施一批路网、水网、气网、污水管网等基础设施，加快建设一批研发创新、品类展示等公共服务设施，推动土地、金融、人才等要素向园区聚集。隆尧县食品加工标准产业园在2024年完成与15家企业签约入驻基础上，2025年至少再签订10家以上企业入驻。宁晋县休闲食品园（北区）在2025年6月底之前全面达到入驻条件，10月底前已签约企业全部入驻并投产达效。宁晋县健康</w:t>
      </w:r>
      <w:r>
        <w:rPr>
          <w:rFonts w:hint="default" w:ascii="仿宋_GB2312" w:hAnsi="仿宋_GB2312" w:eastAsia="仿宋_GB2312" w:cs="仿宋_GB2312"/>
          <w:sz w:val="32"/>
          <w:szCs w:val="32"/>
          <w:lang w:val="en" w:eastAsia="zh-CN"/>
        </w:rPr>
        <w:t>食品加工</w:t>
      </w:r>
      <w:r>
        <w:rPr>
          <w:rFonts w:hint="eastAsia" w:ascii="仿宋_GB2312" w:hAnsi="仿宋_GB2312" w:eastAsia="仿宋_GB2312" w:cs="仿宋_GB2312"/>
          <w:sz w:val="32"/>
          <w:szCs w:val="32"/>
          <w:lang w:val="en-US" w:eastAsia="zh-CN"/>
        </w:rPr>
        <w:t>园智能化现代物流项目、研发中心及配套设施综合项目，力争6月底前开工建设。南和区食品</w:t>
      </w:r>
      <w:r>
        <w:rPr>
          <w:rFonts w:hint="default" w:ascii="仿宋_GB2312" w:hAnsi="仿宋_GB2312" w:eastAsia="仿宋_GB2312" w:cs="仿宋_GB2312"/>
          <w:sz w:val="32"/>
          <w:szCs w:val="32"/>
          <w:lang w:val="en" w:eastAsia="zh-CN"/>
        </w:rPr>
        <w:t>加工</w:t>
      </w:r>
      <w:r>
        <w:rPr>
          <w:rFonts w:hint="eastAsia" w:ascii="仿宋_GB2312" w:hAnsi="仿宋_GB2312" w:eastAsia="仿宋_GB2312" w:cs="仿宋_GB2312"/>
          <w:sz w:val="32"/>
          <w:szCs w:val="32"/>
          <w:lang w:val="en-US" w:eastAsia="zh-CN"/>
        </w:rPr>
        <w:t>园基础设施项目力争6月底前开工建设。</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550" w:lineRule="exact"/>
        <w:ind w:left="0" w:leftChars="0" w:right="0" w:firstLine="640" w:firstLineChars="200"/>
        <w:jc w:val="left"/>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三、积极支持有用地需求的乡村振兴建设项目</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550" w:lineRule="exact"/>
        <w:ind w:left="0" w:leftChars="0"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000000"/>
          <w:spacing w:val="0"/>
          <w:sz w:val="32"/>
          <w:szCs w:val="32"/>
          <w:shd w:val="clear" w:color="auto" w:fill="FFFFFF"/>
          <w:lang w:eastAsia="zh-CN"/>
        </w:rPr>
        <w:t>市自然资源和规划</w:t>
      </w:r>
      <w:r>
        <w:rPr>
          <w:rFonts w:hint="eastAsia" w:ascii="仿宋_GB2312" w:hAnsi="仿宋_GB2312" w:eastAsia="仿宋_GB2312" w:cs="仿宋_GB2312"/>
          <w:i w:val="0"/>
          <w:caps w:val="0"/>
          <w:color w:val="000000"/>
          <w:spacing w:val="0"/>
          <w:sz w:val="32"/>
          <w:szCs w:val="32"/>
          <w:shd w:val="clear" w:color="auto" w:fill="FFFFFF"/>
        </w:rPr>
        <w:t>局持续增强土地要素保障供应能力。坚持“项目跟着规划走、要素跟着项目走”，全面摸清用地需求底数，积极争取国家及省指标支持，统筹使用新增和存量建设用地，提高计划指标配置精准度和利用效率，增强土地要素对重点项目的保障能力，确保当年有用地需求的乡村振兴建设项目应保尽保，全力保障。</w:t>
      </w: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550" w:lineRule="exact"/>
        <w:ind w:left="0" w:leftChars="0" w:right="0" w:rightChars="0" w:firstLine="640" w:firstLineChars="200"/>
        <w:jc w:val="left"/>
        <w:textAlignment w:val="baseline"/>
        <w:rPr>
          <w:rFonts w:hint="eastAsia" w:ascii="黑体" w:hAnsi="黑体" w:eastAsia="黑体" w:cs="黑体"/>
          <w:spacing w:val="0"/>
          <w:w w:val="100"/>
          <w:position w:val="0"/>
          <w:sz w:val="32"/>
          <w:szCs w:val="32"/>
          <w:highlight w:val="none"/>
          <w:lang w:val="en-US" w:eastAsia="zh-CN"/>
        </w:rPr>
      </w:pPr>
      <w:r>
        <w:rPr>
          <w:rFonts w:hint="eastAsia" w:ascii="黑体" w:hAnsi="黑体" w:eastAsia="黑体" w:cs="黑体"/>
          <w:spacing w:val="0"/>
          <w:w w:val="100"/>
          <w:position w:val="0"/>
          <w:sz w:val="32"/>
          <w:szCs w:val="32"/>
          <w:highlight w:val="none"/>
          <w:lang w:val="en-US" w:eastAsia="zh-CN"/>
        </w:rPr>
        <w:t>四、加强人才培养和引进，为产业发展提供智力支持</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50" w:lineRule="exact"/>
        <w:ind w:left="0" w:leftChars="0" w:right="0"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eastAsia="zh-CN"/>
        </w:rPr>
        <w:t>持续打造“相遇太行泉城、‘职’来不问归期”人才招引品牌。</w:t>
      </w:r>
      <w:r>
        <w:rPr>
          <w:rFonts w:hint="eastAsia" w:ascii="仿宋_GB2312" w:hAnsi="仿宋_GB2312" w:eastAsia="仿宋_GB2312" w:cs="仿宋_GB2312"/>
          <w:b w:val="0"/>
          <w:bCs w:val="0"/>
          <w:sz w:val="32"/>
          <w:szCs w:val="32"/>
          <w:lang w:val="en-US" w:eastAsia="zh-CN"/>
        </w:rPr>
        <w:t>通过</w:t>
      </w:r>
      <w:r>
        <w:rPr>
          <w:rFonts w:hint="eastAsia" w:ascii="仿宋_GB2312" w:hAnsi="仿宋_GB2312" w:eastAsia="仿宋_GB2312" w:cs="仿宋_GB2312"/>
          <w:b w:val="0"/>
          <w:bCs w:val="0"/>
          <w:sz w:val="32"/>
          <w:szCs w:val="32"/>
          <w:lang w:eastAsia="zh-CN"/>
        </w:rPr>
        <w:t>举办各类大型综合招聘会、高校毕业生专场招聘会等系列品牌招聘活动，招引人才</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以互联网为载体，依托网站、微信公众号等新媒体平台，发布用工需求。</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通过邢台人社微信公众号“邢小泉人才招聘集市”发布企业用工信息，解决企业用工问题。</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50" w:lineRule="exact"/>
        <w:ind w:leftChars="0" w:righ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感谢您对农业农村工作的关心和支持！</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0" w:leftChars="0" w:right="0" w:firstLine="5120" w:firstLineChars="1600"/>
        <w:jc w:val="both"/>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lang w:eastAsia="zh-CN"/>
        </w:rPr>
        <w:t>邢台市农业农村局</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0" w:leftChars="0" w:right="0" w:firstLine="5120" w:firstLineChars="1600"/>
        <w:jc w:val="both"/>
        <w:rPr>
          <w:rFonts w:hint="eastAsia"/>
        </w:rPr>
      </w:pPr>
      <w:r>
        <w:rPr>
          <w:rFonts w:hint="eastAsia" w:ascii="仿宋_GB2312" w:hAnsi="仿宋_GB2312" w:eastAsia="仿宋_GB2312" w:cs="仿宋_GB2312"/>
          <w:spacing w:val="0"/>
          <w:w w:val="100"/>
          <w:position w:val="0"/>
          <w:sz w:val="32"/>
          <w:szCs w:val="32"/>
          <w:lang w:val="en-US" w:eastAsia="zh-CN"/>
        </w:rPr>
        <w:t>2025年5月30日</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Chars="0" w:right="0"/>
        <w:jc w:val="both"/>
        <w:rPr>
          <w:rFonts w:hint="eastAsia" w:ascii="仿宋_GB2312" w:hAnsi="仿宋_GB2312" w:eastAsia="仿宋_GB2312" w:cs="仿宋_GB2312"/>
          <w:b w:val="0"/>
          <w:bCs w:val="0"/>
          <w:sz w:val="32"/>
          <w:szCs w:val="32"/>
        </w:rPr>
      </w:pPr>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Chars="0" w:right="0"/>
        <w:jc w:val="both"/>
        <w:rPr>
          <w:rFonts w:hint="eastAsia" w:ascii="仿宋_GB2312" w:hAnsi="仿宋_GB2312" w:eastAsia="仿宋_GB2312" w:cs="仿宋_GB2312"/>
          <w:b w:val="0"/>
          <w:bCs w:val="0"/>
          <w:sz w:val="32"/>
          <w:szCs w:val="32"/>
        </w:rPr>
      </w:pPr>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Chars="0" w:right="0"/>
        <w:jc w:val="both"/>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领导签发：</w:t>
      </w:r>
      <w:bookmarkStart w:id="0" w:name="_GoBack"/>
      <w:bookmarkEnd w:id="0"/>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Chars="0" w:right="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eastAsia="zh-CN"/>
        </w:rPr>
        <w:drawing>
          <wp:anchor distT="0" distB="0" distL="114300" distR="114300" simplePos="0" relativeHeight="251660288" behindDoc="0" locked="0" layoutInCell="1" allowOverlap="1">
            <wp:simplePos x="0" y="0"/>
            <wp:positionH relativeFrom="column">
              <wp:posOffset>2204085</wp:posOffset>
            </wp:positionH>
            <wp:positionV relativeFrom="paragraph">
              <wp:posOffset>7963535</wp:posOffset>
            </wp:positionV>
            <wp:extent cx="1081405" cy="854075"/>
            <wp:effectExtent l="0" t="0" r="4445" b="3175"/>
            <wp:wrapNone/>
            <wp:docPr id="5" name="图片 2"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2"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sz w:val="32"/>
          <w:szCs w:val="32"/>
          <w:lang w:eastAsia="zh-CN"/>
        </w:rPr>
        <w:drawing>
          <wp:anchor distT="0" distB="0" distL="114300" distR="114300" simplePos="0" relativeHeight="251659264" behindDoc="0" locked="0" layoutInCell="1" allowOverlap="1">
            <wp:simplePos x="0" y="0"/>
            <wp:positionH relativeFrom="column">
              <wp:posOffset>2051685</wp:posOffset>
            </wp:positionH>
            <wp:positionV relativeFrom="paragraph">
              <wp:posOffset>7811135</wp:posOffset>
            </wp:positionV>
            <wp:extent cx="1081405" cy="854075"/>
            <wp:effectExtent l="0" t="0" r="4445" b="3175"/>
            <wp:wrapNone/>
            <wp:docPr id="2" name="图片 3"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3"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sz w:val="32"/>
          <w:szCs w:val="32"/>
          <w:lang w:eastAsia="zh-CN"/>
        </w:rPr>
        <w:drawing>
          <wp:anchor distT="0" distB="0" distL="114300" distR="114300" simplePos="0" relativeHeight="251658240" behindDoc="0" locked="0" layoutInCell="1" allowOverlap="1">
            <wp:simplePos x="0" y="0"/>
            <wp:positionH relativeFrom="column">
              <wp:posOffset>1899285</wp:posOffset>
            </wp:positionH>
            <wp:positionV relativeFrom="paragraph">
              <wp:posOffset>7658735</wp:posOffset>
            </wp:positionV>
            <wp:extent cx="1081405" cy="854075"/>
            <wp:effectExtent l="0" t="0" r="4445" b="3175"/>
            <wp:wrapNone/>
            <wp:docPr id="3" name="图片 4"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4"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b w:val="0"/>
          <w:bCs w:val="0"/>
          <w:sz w:val="32"/>
          <w:szCs w:val="32"/>
        </w:rPr>
        <w:t>联系人及电话：</w:t>
      </w:r>
      <w:r>
        <w:rPr>
          <w:rFonts w:hint="eastAsia" w:ascii="仿宋_GB2312" w:hAnsi="仿宋_GB2312" w:eastAsia="仿宋_GB2312" w:cs="仿宋_GB2312"/>
          <w:b w:val="0"/>
          <w:bCs w:val="0"/>
          <w:sz w:val="32"/>
          <w:szCs w:val="32"/>
          <w:lang w:eastAsia="zh-CN"/>
        </w:rPr>
        <w:t>宋云兴</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3160154</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960" w:leftChars="0" w:right="0" w:hanging="960" w:hangingChars="300"/>
        <w:jc w:val="both"/>
      </w:pPr>
      <w:r>
        <w:rPr>
          <w:rFonts w:hint="eastAsia" w:ascii="仿宋_GB2312" w:hAnsi="仿宋_GB2312" w:eastAsia="仿宋_GB2312" w:cs="仿宋_GB2312"/>
          <w:spacing w:val="0"/>
          <w:w w:val="100"/>
          <w:position w:val="0"/>
          <w:sz w:val="32"/>
          <w:szCs w:val="32"/>
        </w:rPr>
        <w:t>抄送：市政府办公室</w:t>
      </w:r>
      <w:r>
        <w:rPr>
          <w:rFonts w:hint="eastAsia" w:ascii="仿宋_GB2312" w:hAnsi="仿宋_GB2312" w:eastAsia="仿宋_GB2312" w:cs="仿宋_GB2312"/>
          <w:spacing w:val="0"/>
          <w:w w:val="100"/>
          <w:position w:val="0"/>
          <w:sz w:val="32"/>
          <w:szCs w:val="32"/>
          <w:lang w:eastAsia="zh-CN"/>
        </w:rPr>
        <w:t>，市政协提案委员会。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788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88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62688"/>
    <w:rsid w:val="1FFFDB53"/>
    <w:rsid w:val="27E6E4CE"/>
    <w:rsid w:val="296F2580"/>
    <w:rsid w:val="2D2F65EC"/>
    <w:rsid w:val="2DFDD98A"/>
    <w:rsid w:val="37FF913C"/>
    <w:rsid w:val="3AED6EF7"/>
    <w:rsid w:val="3D2D143A"/>
    <w:rsid w:val="3FFFC438"/>
    <w:rsid w:val="4A740A5B"/>
    <w:rsid w:val="4BFBDB5A"/>
    <w:rsid w:val="527B0076"/>
    <w:rsid w:val="577AF521"/>
    <w:rsid w:val="59DE769F"/>
    <w:rsid w:val="5A6E4C9D"/>
    <w:rsid w:val="5ABF27EC"/>
    <w:rsid w:val="5AFBBACB"/>
    <w:rsid w:val="5BBAD456"/>
    <w:rsid w:val="5BBF3874"/>
    <w:rsid w:val="5EF9F606"/>
    <w:rsid w:val="5F758E01"/>
    <w:rsid w:val="5F7BC764"/>
    <w:rsid w:val="5FB7A3BA"/>
    <w:rsid w:val="5FFF21B9"/>
    <w:rsid w:val="5FFFE01B"/>
    <w:rsid w:val="65F62688"/>
    <w:rsid w:val="67D44070"/>
    <w:rsid w:val="67FED270"/>
    <w:rsid w:val="69B1306C"/>
    <w:rsid w:val="69EC62F6"/>
    <w:rsid w:val="6B7BE898"/>
    <w:rsid w:val="6BEFEAF0"/>
    <w:rsid w:val="6DD68B31"/>
    <w:rsid w:val="6DD72415"/>
    <w:rsid w:val="6EE710C5"/>
    <w:rsid w:val="6F7D4E05"/>
    <w:rsid w:val="6F7F6C9D"/>
    <w:rsid w:val="6FFB7ECD"/>
    <w:rsid w:val="71A73041"/>
    <w:rsid w:val="73DF007C"/>
    <w:rsid w:val="73FFECE0"/>
    <w:rsid w:val="75EFF627"/>
    <w:rsid w:val="76575315"/>
    <w:rsid w:val="767F46BE"/>
    <w:rsid w:val="76E78BAA"/>
    <w:rsid w:val="774BB46F"/>
    <w:rsid w:val="776F8120"/>
    <w:rsid w:val="77D5225A"/>
    <w:rsid w:val="77EB2083"/>
    <w:rsid w:val="7BF79BB6"/>
    <w:rsid w:val="7DEC0038"/>
    <w:rsid w:val="7DFE0CF9"/>
    <w:rsid w:val="7DFF04E9"/>
    <w:rsid w:val="7E7FBAB2"/>
    <w:rsid w:val="7ECE2CC1"/>
    <w:rsid w:val="7F2E3046"/>
    <w:rsid w:val="7F32E1F6"/>
    <w:rsid w:val="7FEB4A69"/>
    <w:rsid w:val="7FF9498A"/>
    <w:rsid w:val="9FEEE903"/>
    <w:rsid w:val="ABACE559"/>
    <w:rsid w:val="B3CB1A69"/>
    <w:rsid w:val="B77FECAE"/>
    <w:rsid w:val="BF7303E1"/>
    <w:rsid w:val="BFBB1ABD"/>
    <w:rsid w:val="CBED193F"/>
    <w:rsid w:val="CFEF8171"/>
    <w:rsid w:val="D3D7E3D8"/>
    <w:rsid w:val="D9FF85A7"/>
    <w:rsid w:val="DBAF1C8E"/>
    <w:rsid w:val="DBF17EE1"/>
    <w:rsid w:val="DEFB3845"/>
    <w:rsid w:val="DEFCECAC"/>
    <w:rsid w:val="DEFF752A"/>
    <w:rsid w:val="DFBF2369"/>
    <w:rsid w:val="DFDB8779"/>
    <w:rsid w:val="DFF68FAB"/>
    <w:rsid w:val="E6A77025"/>
    <w:rsid w:val="EB9F545A"/>
    <w:rsid w:val="EBFFB9F8"/>
    <w:rsid w:val="ECB7873A"/>
    <w:rsid w:val="EEFE083F"/>
    <w:rsid w:val="EF07C7B0"/>
    <w:rsid w:val="EFFF9037"/>
    <w:rsid w:val="F3EDC4E9"/>
    <w:rsid w:val="F47F7BAF"/>
    <w:rsid w:val="F57A47E9"/>
    <w:rsid w:val="F5DE4875"/>
    <w:rsid w:val="F7DE90C8"/>
    <w:rsid w:val="F7EEED6A"/>
    <w:rsid w:val="F7F55F5E"/>
    <w:rsid w:val="F7FF7E76"/>
    <w:rsid w:val="F99F4288"/>
    <w:rsid w:val="F9FB2C41"/>
    <w:rsid w:val="FA3B8D7C"/>
    <w:rsid w:val="FCEBE3FC"/>
    <w:rsid w:val="FCF7CA60"/>
    <w:rsid w:val="FD2FDC90"/>
    <w:rsid w:val="FDAE187A"/>
    <w:rsid w:val="FDE32372"/>
    <w:rsid w:val="FEA7D72C"/>
    <w:rsid w:val="FEF68047"/>
    <w:rsid w:val="FEFA94CE"/>
    <w:rsid w:val="FFF4B92C"/>
    <w:rsid w:val="FFFBC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left="420" w:leftChars="200" w:firstLine="420" w:firstLineChars="200"/>
    </w:pPr>
    <w:rPr>
      <w:rFonts w:ascii="Times New Roman"/>
    </w:rPr>
  </w:style>
  <w:style w:type="paragraph" w:styleId="3">
    <w:name w:val="Body Text Indent"/>
    <w:basedOn w:val="1"/>
    <w:next w:val="2"/>
    <w:qFormat/>
    <w:uiPriority w:val="0"/>
    <w:pPr>
      <w:snapToGrid w:val="0"/>
      <w:spacing w:line="480" w:lineRule="exact"/>
      <w:ind w:right="-45" w:firstLine="480"/>
    </w:pPr>
    <w:rPr>
      <w:rFonts w:ascii="楷体_GB2312" w:eastAsia="楷体_GB2312"/>
      <w:spacing w:val="12"/>
      <w:sz w:val="24"/>
    </w:rPr>
  </w:style>
  <w:style w:type="paragraph" w:styleId="4">
    <w:name w:val="Normal Indent"/>
    <w:basedOn w:val="1"/>
    <w:next w:val="5"/>
    <w:qFormat/>
    <w:uiPriority w:val="99"/>
    <w:pPr>
      <w:spacing w:after="120"/>
      <w:ind w:left="420"/>
    </w:pPr>
  </w:style>
  <w:style w:type="paragraph" w:styleId="5">
    <w:name w:val="Plain Text"/>
    <w:basedOn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footer"/>
    <w:basedOn w:val="1"/>
    <w:next w:val="4"/>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2023-05-30T08:42:00Z</dcterms:created>
  <dc:creator>风雨兼程</dc:creator>
  <cp:lastModifiedBy>ncj</cp:lastModifiedBy>
  <cp:lastPrinted>2025-05-02T00:23:00Z</cp:lastPrinted>
  <dcterms:modified xsi:type="dcterms:W3CDTF">2025-07-04T18:53:13Z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B49CF994E5901EE446393B66F83B37BD</vt:lpwstr>
  </property>
</Properties>
</file>